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A"/>
        <w:pBdr/>
        <w:jc w:val="both"/>
        <w:rPr>
          <w:rStyle w:val="Brak"/>
          <w:rFonts w:ascii="Calibri" w:hAnsi="Calibri" w:cs="Calibri" w:asciiTheme="minorHAnsi" w:cstheme="minorHAnsi" w:hAnsiTheme="minorHAnsi"/>
        </w:rPr>
      </w:pPr>
      <w:r>
        <w:rPr>
          <w:rStyle w:val="Brak"/>
          <w:rFonts w:cs="Calibri" w:ascii="Calibri" w:hAnsi="Calibri" w:asciiTheme="minorHAnsi" w:cstheme="minorHAnsi" w:hAnsiTheme="minorHAnsi"/>
          <w:b/>
          <w:bCs/>
        </w:rPr>
        <w:t>Załącznik nr 3 do SIWZ - Wzór umowy</w:t>
      </w:r>
      <w:r>
        <w:rPr>
          <w:rStyle w:val="Brak"/>
          <w:rFonts w:cs="Calibri" w:ascii="Calibri" w:hAnsi="Calibri" w:asciiTheme="minorHAnsi" w:cstheme="minorHAnsi" w:hAnsiTheme="minorHAnsi"/>
        </w:rPr>
        <w:t>.</w:t>
      </w:r>
    </w:p>
    <w:p>
      <w:pPr>
        <w:pStyle w:val="TreA"/>
        <w:pBdr/>
        <w:jc w:val="both"/>
        <w:rPr>
          <w:rStyle w:val="Brak"/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TreA"/>
        <w:pBdr/>
        <w:jc w:val="both"/>
        <w:rPr/>
      </w:pPr>
      <w:r>
        <w:rPr>
          <w:rStyle w:val="Brak"/>
          <w:rFonts w:cs="Calibri" w:ascii="Calibri" w:hAnsi="Calibri" w:asciiTheme="minorHAnsi" w:cstheme="minorHAnsi" w:hAnsiTheme="minorHAnsi"/>
          <w:b/>
          <w:u w:val="single"/>
        </w:rPr>
        <w:t>Dla części I, II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Tytu"/>
        <w:ind w:left="0" w:firstLine="6"/>
        <w:rPr>
          <w:rFonts w:ascii="Calibri" w:hAnsi="Calibri" w:cs="Calibri" w:asciiTheme="minorHAnsi" w:cstheme="minorHAnsi" w:hAnsiTheme="minorHAnsi"/>
          <w:i w:val="false"/>
          <w:i w:val="false"/>
          <w:spacing w:val="26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 w:val="false"/>
          <w:spacing w:val="26"/>
          <w:sz w:val="24"/>
          <w:szCs w:val="24"/>
        </w:rPr>
        <w:t>UMOWA</w:t>
      </w:r>
    </w:p>
    <w:p>
      <w:pPr>
        <w:pStyle w:val="Tytu"/>
        <w:rPr>
          <w:rFonts w:ascii="Calibri" w:hAnsi="Calibri" w:cs="Calibri" w:asciiTheme="minorHAnsi" w:cstheme="minorHAnsi" w:hAnsiTheme="minorHAnsi"/>
          <w:i w:val="false"/>
          <w:i w:val="false"/>
          <w:spacing w:val="26"/>
          <w:sz w:val="24"/>
          <w:szCs w:val="24"/>
        </w:rPr>
      </w:pPr>
      <w:r>
        <w:rPr>
          <w:rFonts w:cs="Calibri" w:cstheme="minorHAnsi" w:ascii="Calibri" w:hAnsi="Calibri"/>
          <w:i w:val="false"/>
          <w:spacing w:val="26"/>
          <w:sz w:val="24"/>
          <w:szCs w:val="24"/>
        </w:rPr>
      </w:r>
    </w:p>
    <w:p>
      <w:pPr>
        <w:pStyle w:val="Normal"/>
        <w:spacing w:lineRule="auto" w:line="276"/>
        <w:ind w:firstLine="708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b/>
          <w:sz w:val="24"/>
          <w:szCs w:val="24"/>
        </w:rPr>
        <w:t>Gminą Sułów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, Sułów 63, 22-448 Sułów, 22-448 Sułów, NIP</w:t>
      </w:r>
      <w:r>
        <w:rPr>
          <w:rFonts w:cs="Calibri" w:ascii="Calibri" w:hAnsi="Calibri" w:asciiTheme="minorHAnsi" w:cstheme="minorHAnsi" w:hAnsiTheme="minorHAnsi"/>
          <w:sz w:val="24"/>
          <w:szCs w:val="24"/>
          <w:lang w:val="en-US"/>
        </w:rPr>
        <w:t xml:space="preserve">: 922-29-42-581, REGON: 950368598, 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zwaną w dalszej części umowy „</w:t>
      </w:r>
      <w:r>
        <w:rPr>
          <w:rFonts w:eastAsia="Arial Unicode MS" w:cs="Calibri" w:ascii="Calibri" w:hAnsi="Calibri" w:asciiTheme="minorHAnsi" w:cstheme="minorHAnsi" w:hAnsiTheme="minorHAnsi"/>
          <w:b/>
          <w:i/>
          <w:sz w:val="24"/>
          <w:szCs w:val="24"/>
        </w:rPr>
        <w:t>Zamawiającym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” reprezentowaną przez: WójtaGminy Sułów Pana Leona Bulaka oraz Skarbnika Gminy Sułów Panią Aleksandrę Zając</w:t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ind w:firstLine="709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a</w:t>
      </w:r>
    </w:p>
    <w:p>
      <w:pPr>
        <w:pStyle w:val="Normal"/>
        <w:spacing w:lineRule="auto" w:line="276"/>
        <w:ind w:firstLine="709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…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.......................................................................................................................................................... zwanym/ą w dalszej części umowy „</w:t>
      </w:r>
      <w:r>
        <w:rPr>
          <w:rFonts w:eastAsia="Arial Unicode MS" w:cs="Calibri" w:ascii="Calibri" w:hAnsi="Calibri" w:asciiTheme="minorHAnsi" w:cstheme="minorHAnsi" w:hAnsiTheme="minorHAnsi"/>
          <w:b/>
          <w:i/>
          <w:sz w:val="24"/>
          <w:szCs w:val="24"/>
        </w:rPr>
        <w:t>Wykonawcą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 xml:space="preserve">”, reprezentowanym/ą przez: …....................................  </w:t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Po przeprowadzeniu postępowania znak RR.271.13.2018 o udzielenie zamówienia publicznego w trybie przetargu nieograniczonego na podstawie ustawy z dnia 29 stycznia 2004 r. Prawo zamówień publicznych (Dz. U z 2017 r., poz. 1579 z późn. zm.), w rezultacie dokonania przez Zamawiającego wyboru oferty została zawarta umowa o następującej treści: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1 </w:t>
        <w:br/>
        <w:t xml:space="preserve">Przedmiot umowy </w:t>
      </w:r>
    </w:p>
    <w:p>
      <w:pPr>
        <w:pStyle w:val="Normal"/>
        <w:tabs>
          <w:tab w:val="left" w:pos="4046" w:leader="none"/>
        </w:tabs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7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Przedmiotem zamówienia jest dostawa [określenie przedmiotu dostawy zgodnie z właściwą Częścią postępowania]</w:t>
      </w:r>
    </w:p>
    <w:p>
      <w:pPr>
        <w:pStyle w:val="Normal"/>
        <w:numPr>
          <w:ilvl w:val="0"/>
          <w:numId w:val="7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Integralną część Umowy stanowią: Specyfikacja Istotnych Warunków Zamówienia i oferta wykonawcy.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ind w:left="284" w:hanging="284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2 </w:t>
      </w:r>
    </w:p>
    <w:p>
      <w:pPr>
        <w:pStyle w:val="Normal"/>
        <w:ind w:left="284" w:hanging="284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Termin wykonania umowy </w:t>
      </w:r>
    </w:p>
    <w:p>
      <w:pPr>
        <w:pStyle w:val="Normal"/>
        <w:ind w:left="360" w:hanging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6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wykonania przedmiotu umowy i dostarczenia Zamawiającemu przedmiotu zamówienia w terminie do dnia 30 września 2018 r.</w:t>
      </w:r>
    </w:p>
    <w:p>
      <w:pPr>
        <w:pStyle w:val="Normal"/>
        <w:numPr>
          <w:ilvl w:val="0"/>
          <w:numId w:val="6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jest zobowiązany do dostawy przedmiotu umowy zgodnie z zaakceptowaną ofertą.</w:t>
      </w:r>
    </w:p>
    <w:p>
      <w:pPr>
        <w:pStyle w:val="Normal"/>
        <w:numPr>
          <w:ilvl w:val="0"/>
          <w:numId w:val="6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dostarczy przedmiotu zamówienia Zamawiającemu do miejsca: [oznaczenie miejsca]</w:t>
      </w:r>
    </w:p>
    <w:p>
      <w:pPr>
        <w:pStyle w:val="Normal"/>
        <w:numPr>
          <w:ilvl w:val="0"/>
          <w:numId w:val="6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Dostawa będzie obejmować:</w:t>
      </w:r>
    </w:p>
    <w:p>
      <w:pPr>
        <w:pStyle w:val="FR1"/>
        <w:widowControl/>
        <w:numPr>
          <w:ilvl w:val="0"/>
          <w:numId w:val="8"/>
        </w:numPr>
        <w:ind w:left="540" w:hanging="0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rozpakowanie,</w:t>
      </w:r>
    </w:p>
    <w:p>
      <w:pPr>
        <w:pStyle w:val="FR1"/>
        <w:widowControl/>
        <w:numPr>
          <w:ilvl w:val="0"/>
          <w:numId w:val="8"/>
        </w:numPr>
        <w:ind w:left="540" w:hanging="0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ocenę zgodności przedmiotu dostawy z wymaganiami określonymi w SIWZ.</w:t>
      </w:r>
    </w:p>
    <w:p>
      <w:pPr>
        <w:pStyle w:val="FR1"/>
        <w:widowControl/>
        <w:numPr>
          <w:ilvl w:val="1"/>
          <w:numId w:val="8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Dostarczone urządzenia będą gotowe do pracy i będą posiadały wszelkie niezbędne do właściwego korzystania instrukcje w języku polskim.</w:t>
      </w:r>
      <w:r>
        <w:rPr>
          <w:rStyle w:val="FootnoteCharacters"/>
          <w:rStyle w:val="Zakotwiczenieprzypisudolnego"/>
          <w:rFonts w:cs="Calibri" w:ascii="Calibri" w:hAnsi="Calibri" w:asciiTheme="minorHAnsi" w:cstheme="minorHAnsi" w:hAnsiTheme="minorHAnsi"/>
          <w:szCs w:val="24"/>
        </w:rPr>
        <w:footnoteReference w:id="2"/>
      </w:r>
    </w:p>
    <w:p>
      <w:pPr>
        <w:pStyle w:val="FR1"/>
        <w:widowControl/>
        <w:numPr>
          <w:ilvl w:val="1"/>
          <w:numId w:val="8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Dostawa powinna odbyć się w dni robocze w godzinach pracy Zamawiającego po uprzednim poinformowaniu Zamawiającego o planowanej dostawie z co najmniej dwudniowym (dni robocze) wyprzedzeniem drogą telefoniczną lub e-mailową.</w:t>
      </w:r>
    </w:p>
    <w:p>
      <w:pPr>
        <w:pStyle w:val="FR1"/>
        <w:widowControl/>
        <w:numPr>
          <w:ilvl w:val="1"/>
          <w:numId w:val="8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Zamawiający dokona odbioru przedmiotu umowy pod warunkiem, iż będzie sprawny, kompletny i pozbawiony wad.</w:t>
      </w:r>
    </w:p>
    <w:p>
      <w:pPr>
        <w:pStyle w:val="FR1"/>
        <w:widowControl/>
        <w:numPr>
          <w:ilvl w:val="1"/>
          <w:numId w:val="8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Odbiór przedmiotu umowy zostanie potwierdzony spisaniem protokołu odbioru, opatrzonym klauzulą „bez zastrzeżeń”. Klauzula ta potwierdza, zeprzedmiot umowy został odebrany bez zastrzeżeń zgodnie z informacjami zamieszczonymi w ofercie, stanowiącymi podstawę jej wyboru.</w:t>
      </w:r>
    </w:p>
    <w:p>
      <w:pPr>
        <w:pStyle w:val="FR1"/>
        <w:widowControl/>
        <w:numPr>
          <w:ilvl w:val="1"/>
          <w:numId w:val="8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Wraz z dostarczanym sprzętem Wykonawca jest zobowiązany dostarczyć Zamawiającemu dowód, iż producent dostarczanego sprzętu udziela gwarancji na zasadach i o długości określonej w opisie przedmiotu zamówienia i ofercie Wykonawcy.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3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Cena i warunki płatności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Całkowita wartość przedmiotu Umowy opisanego w §1, wynosi netto .....................: (słownie: ............... ) i obejmuje wszelkie koszty związane z dostawą i wykonaniem usług opisanych w §1 Umowy. Do powyższej kwoty Wykonawca doliczy podatek VAT wg stawki obowiązującej na dzień wystawienia faktury.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Zamawiający zapłaci wynagrodzenie Wykonawcy z tytułu umowy przelewem na rachunek bankowy wskazany przez Wykonawcę w fakturze, w ciągu 14 dni od daty otrzymania prawidłowo wystawionej faktury.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uprawniony jest wystawić fakturę po sporządzeniu protokołu, o którym mowa w § 2 ust. 7.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Wykonawca jest zobowiązany dostarczyć Zamawiającemu oryginały faktur VAT. 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Faktura VAT musi zostać dostarczona przez Wykonawcę, w formie pisemnej, dosiedziby Zamawiającego.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Dniem dokonania płatności jest dzień obciążenia rachunku Zamawiającego.</w:t>
      </w:r>
    </w:p>
    <w:p>
      <w:pPr>
        <w:pStyle w:val="Normal"/>
        <w:tabs>
          <w:tab w:val="left" w:pos="342" w:leader="none"/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342" w:leader="none"/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4 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Dostawa i odbiór przedmiotu umowy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numPr>
          <w:ilvl w:val="0"/>
          <w:numId w:val="5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wykonania przedmiotu umowy z zachowaniem staranności zawodowej, rzetelnie i terminowo, z zachowaniem terminu podanego przez Zamawiającego podczas realizacji umowy.</w:t>
      </w:r>
    </w:p>
    <w:p>
      <w:pPr>
        <w:pStyle w:val="Normal"/>
        <w:numPr>
          <w:ilvl w:val="0"/>
          <w:numId w:val="5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 przypadku stwierdzenia przy odbiorze, że dostarczony przedmiot umowy lub jego składowe nie jest zgodny ilościowo lub jakościowo z opisem objętym SIWZ, Zamawiający wyznaczy Wykonawcy 10 dniowy termin na dokonanie wymiany przedmiotu umowy lub jego składowych na wolne od wad lub na uzupełnienie brakujących, pod rygorem odstąpienia od umowy.</w:t>
      </w:r>
    </w:p>
    <w:p>
      <w:pPr>
        <w:pStyle w:val="Normal"/>
        <w:numPr>
          <w:ilvl w:val="0"/>
          <w:numId w:val="5"/>
        </w:numPr>
        <w:overflowPunct w:val="true"/>
        <w:ind w:left="0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Do bezpośrednich kontaktów i nadzoru nad prawidłowym wykonaniem zamówienia wyznacza się:</w:t>
      </w:r>
    </w:p>
    <w:p>
      <w:pPr>
        <w:pStyle w:val="Normal"/>
        <w:numPr>
          <w:ilvl w:val="0"/>
          <w:numId w:val="4"/>
        </w:numPr>
        <w:overflowPunct w:val="true"/>
        <w:ind w:left="284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ze strony Zamawiającego: …………………………………………</w:t>
      </w:r>
    </w:p>
    <w:p>
      <w:pPr>
        <w:pStyle w:val="Normal"/>
        <w:numPr>
          <w:ilvl w:val="0"/>
          <w:numId w:val="4"/>
        </w:numPr>
        <w:overflowPunct w:val="true"/>
        <w:ind w:left="284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ze strony Wykonawcy: ………………………………………………</w:t>
      </w:r>
    </w:p>
    <w:p>
      <w:pPr>
        <w:pStyle w:val="Normal"/>
        <w:overflowPunct w:val="true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lub inne wskazane pisemnie osoby.</w:t>
      </w:r>
    </w:p>
    <w:p>
      <w:pPr>
        <w:pStyle w:val="Normal"/>
        <w:overflowPunct w:val="true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overflowPunct w:val="true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5</w:t>
      </w:r>
    </w:p>
    <w:p>
      <w:pPr>
        <w:pStyle w:val="Normal"/>
        <w:overflowPunct w:val="true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Gwarancja</w:t>
      </w:r>
    </w:p>
    <w:p>
      <w:pPr>
        <w:pStyle w:val="Normal"/>
        <w:overflowPunct w:val="true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udzielenia gwarancji zgodnie z opisem przedmiotu zamówienia oraz ofertą Wykonawcy.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 będzie obowiązywać zgodnie z warunkami określonymi w ofercie wykonawcy przez okres  ...........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bezpłatnego świadczenia napraw gwarancyjnych w okresie gwarancyjnym, bez dodatkowych opłat za transport i dojazd.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Wykonawca zapewni, że będzie reagował na wezwania Zamawiającego do uruchomienia gwarancji w terminie nie dłuższym, niż 3 dni. 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ponosi odpowiedzialność z tytułu rękojmi za wady fizyczne i prawne na zasadach określonych w Kodeksie cywilnym z tym, że o wadach Zamawiający obowiązany jest powiadomić Wykonawcę w ciągu 21 dni od daty jej wykrycia.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6 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Zabezpieczenie należytego wykonania umowy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BodyTextIndent3"/>
        <w:numPr>
          <w:ilvl w:val="0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Ustala się zabezpieczenie należytego wykonania umowy w wysokości 10 % wynagrodzenia umownego brutto, o którym mowa w § 3 ust. 1 tj. kwotę: ….......................... zł (słownie: …..............................).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Zabezpieczenie będzie dostarczone Zamawiającemu najpóźniej w dniu zawarcia umowy w pełnej wysokości.  </w:t>
        <w:tab/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Zabezpieczenie może być wnoszone według wyboru wykonawcy w jednej lub w kilku następujących formach: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pieniądzu,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poręczeniach bankowych lub poręczeniach spółdzielczej kasy oszczędnościowo-kredytowej, z tym że zobowiązanie kasy jest zawsze zobowiązaniem pieniężnym,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gwarancjach bankowych,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gwarancjach ubezpieczeniowych,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poręczeniach udzielanych przez podmioty, o których mowa w art. 6b ust. 5 pkt 2 ustawy z dnia 9 listopada 2000 r. o utworzeniu Polskiej Agencji Rozwoju Przedsiębiorczości.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Zabezpieczenie służy pokryciu roszczeń z tytułu niewykonania lub nienależytego wykonania umowy.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Strony dopuszczają możliwość zmiany zabezpieczenia należytego wykonania umowy w trakcie jej realizacji na jedną lub kilka form, o których mowa w art. 148 ust. 1 i ust. 2 ustawy z dnia 29 stycznia 2004 r. Prawo zamówień publicznych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Zabezpieczenie wykonania w formie gwarancji winno być nieodwołalne i bezwarunkowe.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Strony ustalają, że wniesione zabezpieczenie należytego wykonania umowy zostanie zwrócone w następujący sposób:</w:t>
      </w:r>
    </w:p>
    <w:p>
      <w:pPr>
        <w:pStyle w:val="BodyTextIndent3"/>
        <w:numPr>
          <w:ilvl w:val="1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70 % w terminie 30 dni od dnia wykonania zamówienia i uznania przez Zamawiającego za należycie wykonane, </w:t>
      </w:r>
    </w:p>
    <w:p>
      <w:pPr>
        <w:pStyle w:val="BodyTextIndent3"/>
        <w:numPr>
          <w:ilvl w:val="1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30 % w ciągu 15 dni po upływie okresu rękojmi za wady.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 przypadku niewykonania lub nienależytego wykonania przedmiotu umowy zabezpieczenie w pieniądzu staje się własnością Zamawiającego i będzie wykorzystane do zgodnego z umową wykonania robót i pokrycia roszczeń z tytułu niewykonania umowy, nienależytego wykonania umowy, roszczeń z tytułu rękojmi, roszczeń z tytułu gwarancji.  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7</w:t>
      </w:r>
    </w:p>
    <w:p>
      <w:pPr>
        <w:pStyle w:val="Normal"/>
        <w:tabs>
          <w:tab w:val="left" w:pos="4046" w:leader="none"/>
        </w:tabs>
        <w:ind w:left="340" w:hanging="340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Kary umowne</w:t>
      </w:r>
    </w:p>
    <w:p>
      <w:pPr>
        <w:pStyle w:val="Normal"/>
        <w:ind w:left="360" w:hanging="360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zapłaci Zamawiającemu kary umowne:</w:t>
      </w:r>
    </w:p>
    <w:p>
      <w:pPr>
        <w:pStyle w:val="BodyTextIndent2"/>
        <w:numPr>
          <w:ilvl w:val="1"/>
          <w:numId w:val="6"/>
        </w:numPr>
        <w:tabs>
          <w:tab w:val="clear" w:pos="708"/>
        </w:tabs>
        <w:spacing w:lineRule="auto" w:line="240" w:before="0" w:after="0"/>
        <w:ind w:left="360" w:hanging="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 niedotrzymanie terminu wykonania przedmiotu umowy – w wysokości 2%  wartości umowy za każdy dzień przekroczenia terminu; </w:t>
      </w:r>
    </w:p>
    <w:p>
      <w:pPr>
        <w:pStyle w:val="BodyTextIndent2"/>
        <w:numPr>
          <w:ilvl w:val="1"/>
          <w:numId w:val="6"/>
        </w:numPr>
        <w:tabs>
          <w:tab w:val="clear" w:pos="708"/>
        </w:tabs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za odstąpienie od umowy przez Wykonawcę z przyczyn za które nie odpowiada Zamawiający - w wysokości 10% ceny określonej w § 3 ust. 1;</w:t>
      </w:r>
    </w:p>
    <w:p>
      <w:pPr>
        <w:pStyle w:val="BodyTextIndent2"/>
        <w:numPr>
          <w:ilvl w:val="1"/>
          <w:numId w:val="6"/>
        </w:numPr>
        <w:tabs>
          <w:tab w:val="clear" w:pos="708"/>
        </w:tabs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za odstąpienie od umowy przez Zamawiającego z przyczyn leżących po stronie dotyczących Wykonawcy w wysokości 10% ceny określonej w § 3 ust. 1., przez co rozumie się w szczególności niedotrzymanie terminu realizacji umowy określonego w § 2 ust.1.</w:t>
      </w:r>
    </w:p>
    <w:p>
      <w:pPr>
        <w:pStyle w:val="BodyTextIndent2"/>
        <w:numPr>
          <w:ilvl w:val="1"/>
          <w:numId w:val="6"/>
        </w:numPr>
        <w:tabs>
          <w:tab w:val="clear" w:pos="708"/>
        </w:tabs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 opóźnienie w reakcji na wezwania Zamawiającego do uruchomienia gwarancji, w wysokości 0,1% ceny określonej w § 3 ust. 1, za każdy dzień opóźnienia.</w:t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Kary umowne mogą zostać potrącone z kwoty określonej w § 3 ust. 1.</w:t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Zamawiający może dochodzić na ogólnych zasadach odszkodowania przewyższającego kary umowne oraz potrącić kary umowne z wynagrodzenia przysługującego Wykonawcy.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8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Warunki odstąpienia od umowy</w:t>
      </w:r>
    </w:p>
    <w:p>
      <w:pPr>
        <w:pStyle w:val="Normal"/>
        <w:tabs>
          <w:tab w:val="left" w:pos="4046" w:leader="none"/>
        </w:tabs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left="360" w:hanging="36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Zamawiający jest uprawniony do odstąpienia od umowy w całości lub w części: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a) w przypadku niedotrzymania przez Wykonawcę terminu realizacji zamówienia,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b) w przypadku nieusunięcia wad lub braków stwierdzonych przy odbiorze w terminie wskazanym w § 4 ust. 2 Umowy,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c) w sytuacji kiedy Wykonawca nie wykonuje obowiązków i innych zapisów</w:t>
      </w:r>
      <w:bookmarkStart w:id="0" w:name="_GoBack"/>
      <w:bookmarkEnd w:id="0"/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wynikających z umowy,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d) w sytuacji określonej w art. 145 ustawy Prawo zamówień publicznych, tj. 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</w:t>
      </w:r>
    </w:p>
    <w:p>
      <w:pPr>
        <w:pStyle w:val="Normal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cstheme="minorHAnsi" w:ascii="Calibri" w:hAnsi="Calibri"/>
          <w:bCs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9</w:t>
      </w:r>
    </w:p>
    <w:p>
      <w:pPr>
        <w:pStyle w:val="Akapitzlist1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 xml:space="preserve">Postanowienia końcowe 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 sprawach nieuregulowanych niniejszą umową zastosowanie mają przepisy ustawy Prawo zamówień publicznych oraz Kodeksu cywilnego.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Strony zobowiązują się do rozstrzygnięcia wszelkich sporów wynikłych na tle realizacji niniejszej umowy przez sąd powszechny właściwy dla siedziby Zamawiającego.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Umowę niniejszą sporządzono w trzech jednobrzmiących egzemplarzach, dwa egzemplarze dla Zamawiającego i 1 egz. dla Wykonawcy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Wszelkie zmiany wymagają formy pisemnej pod rygorem nieważności.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Integralną część umowy stanowią następujące załączniki:</w:t>
      </w:r>
    </w:p>
    <w:p>
      <w:pPr>
        <w:pStyle w:val="Normal"/>
        <w:spacing w:before="0" w:after="0"/>
        <w:ind w:left="284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- nr 1 - opis przedmiotu zamówienia,</w:t>
      </w:r>
    </w:p>
    <w:p>
      <w:pPr>
        <w:pStyle w:val="Normal"/>
        <w:spacing w:before="0" w:after="0"/>
        <w:ind w:left="284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- nr 2 - oferta Wykonawcy.</w:t>
      </w:r>
    </w:p>
    <w:p>
      <w:pPr>
        <w:pStyle w:val="Normal"/>
        <w:spacing w:before="0" w:after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before="0" w:after="0"/>
        <w:ind w:left="852" w:firstLine="142"/>
        <w:contextualSpacing/>
        <w:jc w:val="both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spacing w:before="0" w:after="0"/>
        <w:ind w:left="568" w:firstLine="142"/>
        <w:contextualSpacing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ZAMAWIAJĄCY </w:t>
        <w:tab/>
        <w:tab/>
        <w:tab/>
        <w:tab/>
        <w:tab/>
        <w:tab/>
        <w:tab/>
        <w:t>WYKONAWCA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TreA"/>
        <w:pBdr/>
        <w:jc w:val="both"/>
        <w:rPr>
          <w:rStyle w:val="Hyperlink1"/>
          <w:rFonts w:ascii="Calibri" w:hAnsi="Calibri" w:cs="Calibri" w:asciiTheme="minorHAnsi" w:cstheme="minorHAnsi" w:hAnsiTheme="minorHAnsi"/>
          <w:bCs/>
        </w:rPr>
      </w:pPr>
      <w:r>
        <w:rPr>
          <w:rFonts w:cs="Calibri" w:cstheme="minorHAnsi" w:ascii="Calibri" w:hAnsi="Calibri"/>
          <w:bCs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Tahom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65493144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Przypisdolny"/>
        <w:rPr/>
      </w:pPr>
      <w:r>
        <w:rPr>
          <w:rStyle w:val="Znakiprzypiswdolnych"/>
        </w:rPr>
        <w:footnoteRef/>
      </w:r>
      <w:r>
        <w:rPr>
          <w:rStyle w:val="FootnoteCharacters"/>
        </w:rPr>
        <w:tab/>
      </w:r>
      <w:r>
        <w:rPr/>
        <w:t xml:space="preserve"> </w:t>
      </w:r>
      <w:r>
        <w:rPr/>
        <w:t xml:space="preserve">Postanowienie dla Części </w:t>
      </w:r>
      <w:r>
        <w:rPr/>
        <w:t xml:space="preserve">I, </w:t>
      </w:r>
      <w:r>
        <w:rPr/>
        <w:t>II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0" distT="0" distB="0" distL="114300" distR="120650" simplePos="0" locked="0" layoutInCell="1" allowOverlap="1" relativeHeight="6">
          <wp:simplePos x="0" y="0"/>
          <wp:positionH relativeFrom="margin">
            <wp:posOffset>-163195</wp:posOffset>
          </wp:positionH>
          <wp:positionV relativeFrom="paragraph">
            <wp:posOffset>82550</wp:posOffset>
          </wp:positionV>
          <wp:extent cx="6337300" cy="692150"/>
          <wp:effectExtent l="0" t="0" r="0" b="0"/>
          <wp:wrapTight wrapText="bothSides">
            <wp:wrapPolygon edited="0">
              <wp:start x="-14" y="0"/>
              <wp:lineTo x="-14" y="20791"/>
              <wp:lineTo x="21554" y="20791"/>
              <wp:lineTo x="21554" y="0"/>
              <wp:lineTo x="-14" y="0"/>
            </wp:wrapPolygon>
          </wp:wrapTight>
          <wp:docPr id="1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6" t="23045" r="1874" b="22216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b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4"/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eastAsia="Times New Roman" w:cs="Tahom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sz w:val="24"/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4"/>
        <w:b/>
        <w:rFonts w:eastAsia="Times New Roman" w:cs="Tahoma"/>
      </w:r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lvl w:ilvl="0">
      <w:start w:val="1"/>
      <w:numFmt w:val="lowerLetter"/>
      <w:lvlText w:val="%1)"/>
      <w:lvlJc w:val="left"/>
      <w:pPr>
        <w:ind w:left="1005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05"/>
        </w:tabs>
        <w:ind w:left="1725" w:hanging="360"/>
      </w:pPr>
      <w:rPr>
        <w:rFonts w:eastAsia="Times New Roman" w:cs="Tahoma"/>
      </w:rPr>
    </w:lvl>
    <w:lvl w:ilvl="2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502" w:hanging="360"/>
      </w:pPr>
      <w:rPr>
        <w:sz w:val="24"/>
        <w:rFonts w:eastAsia="Times New Roman" w:cs="Tahoma"/>
        <w:color w:val="00000A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ind w:left="502" w:hanging="360"/>
      </w:pPr>
      <w:rPr>
        <w:sz w:val="24"/>
        <w:rFonts w:eastAsia="Times New Roman" w:cs="Calibri"/>
        <w:color w:val="00000A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sz w:val="24"/>
        <w:rFonts w:cs="Times New Roman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4fb8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0"/>
      <w:szCs w:val="20"/>
      <w:lang w:eastAsia="pl-PL" w:val="pl-PL" w:bidi="ar-SA"/>
    </w:rPr>
  </w:style>
  <w:style w:type="paragraph" w:styleId="Nagwek1">
    <w:name w:val="Heading 1"/>
    <w:basedOn w:val="Normal"/>
    <w:link w:val="Nagwek1Znak"/>
    <w:qFormat/>
    <w:rsid w:val="00604fb8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qFormat/>
    <w:rsid w:val="00604fb8"/>
    <w:rPr>
      <w:rFonts w:ascii="Arial" w:hAnsi="Arial" w:eastAsia="Calibri" w:cs="Arial"/>
      <w:b/>
      <w:bCs/>
      <w:kern w:val="2"/>
      <w:sz w:val="32"/>
      <w:szCs w:val="32"/>
      <w:lang w:eastAsia="pl-PL"/>
    </w:rPr>
  </w:style>
  <w:style w:type="character" w:styleId="Brak" w:customStyle="1">
    <w:name w:val="Brak"/>
    <w:qFormat/>
    <w:rsid w:val="00604fb8"/>
    <w:rPr/>
  </w:style>
  <w:style w:type="character" w:styleId="Hyperlink1" w:customStyle="1">
    <w:name w:val="Hyperlink.1"/>
    <w:qFormat/>
    <w:rsid w:val="00604fb8"/>
    <w:rPr>
      <w:rFonts w:ascii="Tahoma" w:hAnsi="Tahoma"/>
      <w:b/>
    </w:rPr>
  </w:style>
  <w:style w:type="character" w:styleId="Tekstpodstawowywcity3Znak" w:customStyle="1">
    <w:name w:val="Tekst podstawowy wcięty 3 Znak"/>
    <w:basedOn w:val="DefaultParagraphFont"/>
    <w:link w:val="Tekstpodstawowywcity3"/>
    <w:qFormat/>
    <w:rsid w:val="00604fb8"/>
    <w:rPr>
      <w:rFonts w:ascii="Times New Roman" w:hAnsi="Times New Roman" w:eastAsia="Calibri" w:cs="Times New Roman"/>
      <w:sz w:val="16"/>
      <w:szCs w:val="16"/>
      <w:lang w:eastAsia="pl-PL"/>
    </w:rPr>
  </w:style>
  <w:style w:type="character" w:styleId="Tekstpodstawowy2Znak" w:customStyle="1">
    <w:name w:val="Tekst podstawowy 2 Znak"/>
    <w:basedOn w:val="DefaultParagraphFont"/>
    <w:link w:val="Tekstpodstawowy2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kstpodstawowywcity2Znak" w:customStyle="1">
    <w:name w:val="Tekst podstawowy wcięty 2 Znak"/>
    <w:basedOn w:val="DefaultParagraphFont"/>
    <w:link w:val="Tekstpodstawowywcity2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ytuZnak" w:customStyle="1">
    <w:name w:val="Tytuł Znak"/>
    <w:basedOn w:val="DefaultParagraphFont"/>
    <w:link w:val="Tytu"/>
    <w:qFormat/>
    <w:rsid w:val="00604fb8"/>
    <w:rPr>
      <w:rFonts w:ascii="Times New Roman" w:hAnsi="Times New Roman" w:eastAsia="Times New Roman" w:cs="Times New Roman"/>
      <w:b/>
      <w:bCs/>
      <w:i/>
      <w:iCs/>
      <w:sz w:val="18"/>
      <w:szCs w:val="18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kstprzypisudolnegoZnak" w:customStyle="1">
    <w:name w:val="Tekst przypisu dolnego Znak"/>
    <w:basedOn w:val="DefaultParagraphFont"/>
    <w:link w:val="Tekstprzypisudolnego"/>
    <w:uiPriority w:val="99"/>
    <w:semiHidden/>
    <w:qFormat/>
    <w:rsid w:val="00eb6db0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Zakotwiczenieprzypisudolnego">
    <w:name w:val="Zakotwiczenie przypisu dolnego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eb6db0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b6db0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eb6db0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eb6db0"/>
    <w:rPr>
      <w:rFonts w:ascii="Times New Roman" w:hAnsi="Times New Roman" w:eastAsia="Calibri" w:cs="Times New Roman"/>
      <w:b/>
      <w:bCs/>
      <w:sz w:val="20"/>
      <w:szCs w:val="20"/>
      <w:lang w:eastAsia="pl-P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b6db0"/>
    <w:rPr>
      <w:rFonts w:ascii="Segoe UI" w:hAnsi="Segoe UI" w:eastAsia="Calibri" w:cs="Segoe UI"/>
      <w:sz w:val="18"/>
      <w:szCs w:val="18"/>
      <w:lang w:eastAsia="pl-PL"/>
    </w:rPr>
  </w:style>
  <w:style w:type="character" w:styleId="ListLabel1">
    <w:name w:val="ListLabel 1"/>
    <w:qFormat/>
    <w:rPr>
      <w:rFonts w:cs="Times New Roman"/>
      <w:b/>
      <w:sz w:val="24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  <w:sz w:val="24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  <w:b w:val="false"/>
      <w:sz w:val="24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  <w:sz w:val="24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eastAsia="Times New Roman" w:cs="Tahoma"/>
      <w:sz w:val="24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  <w:sz w:val="24"/>
    </w:rPr>
  </w:style>
  <w:style w:type="character" w:styleId="ListLabel47">
    <w:name w:val="ListLabel 47"/>
    <w:qFormat/>
    <w:rPr>
      <w:rFonts w:eastAsia="Times New Roman" w:cs="Tahoma"/>
      <w:b/>
      <w:sz w:val="24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  <w:sz w:val="24"/>
    </w:rPr>
  </w:style>
  <w:style w:type="character" w:styleId="ListLabel55">
    <w:name w:val="ListLabel 55"/>
    <w:qFormat/>
    <w:rPr>
      <w:rFonts w:cs="Times New Roman"/>
    </w:rPr>
  </w:style>
  <w:style w:type="character" w:styleId="ListLabel56">
    <w:name w:val="ListLabel 56"/>
    <w:qFormat/>
    <w:rPr>
      <w:rFonts w:cs="Times New Roman"/>
    </w:rPr>
  </w:style>
  <w:style w:type="character" w:styleId="ListLabel57">
    <w:name w:val="ListLabel 57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eastAsia="Times New Roman" w:cs="Tahoma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eastAsia="Times New Roman" w:cs="Tahoma"/>
      <w:color w:val="00000A"/>
      <w:sz w:val="24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eastAsia="Arial Unicode MS" w:cs="Times New Roman"/>
      <w:b w:val="false"/>
      <w:bCs/>
      <w:i w:val="false"/>
      <w:iCs w:val="false"/>
      <w:color w:val="000000"/>
      <w:sz w:val="24"/>
      <w:szCs w:val="24"/>
      <w:lang w:val="pl-PL"/>
    </w:rPr>
  </w:style>
  <w:style w:type="character" w:styleId="ListLabel82">
    <w:name w:val="ListLabel 82"/>
    <w:qFormat/>
    <w:rPr>
      <w:b w:val="false"/>
    </w:rPr>
  </w:style>
  <w:style w:type="character" w:styleId="ListLabel83">
    <w:name w:val="ListLabel 83"/>
    <w:qFormat/>
    <w:rPr>
      <w:rFonts w:eastAsia="Times New Roman" w:cs="Calibri"/>
      <w:color w:val="00000A"/>
      <w:sz w:val="24"/>
    </w:rPr>
  </w:style>
  <w:style w:type="character" w:styleId="ListLabel84">
    <w:name w:val="ListLabel 84"/>
    <w:qFormat/>
    <w:rPr>
      <w:rFonts w:cs="Times New Roman"/>
      <w:sz w:val="24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Znakiprzypiswdolnych">
    <w:name w:val="Znaki przypisów dolnych"/>
    <w:qFormat/>
    <w:rPr/>
  </w:style>
  <w:style w:type="character" w:styleId="Zakotwiczenieprzypisukocowego">
    <w:name w:val="Zakotwiczenie przypisu końcowego"/>
    <w:rPr>
      <w:vertAlign w:val="superscript"/>
    </w:rPr>
  </w:style>
  <w:style w:type="character" w:styleId="Znakiprzypiswkocowych">
    <w:name w:val="Znaki przypisów końcowych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TreA" w:customStyle="1">
    <w:name w:val="Treść A"/>
    <w:qFormat/>
    <w:rsid w:val="00604fb8"/>
    <w:pPr>
      <w:widowControl/>
      <w:pBdr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u w:val="none" w:color="000000"/>
      <w:lang w:eastAsia="pl-PL" w:val="pl-PL" w:bidi="ar-SA"/>
    </w:rPr>
  </w:style>
  <w:style w:type="paragraph" w:styleId="BodyTextIndent3">
    <w:name w:val="Body Text Indent 3"/>
    <w:basedOn w:val="Normal"/>
    <w:link w:val="Tekstpodstawowywcity3Znak"/>
    <w:qFormat/>
    <w:rsid w:val="00604fb8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link w:val="Tekstpodstawowy2Znak"/>
    <w:qFormat/>
    <w:rsid w:val="00604fb8"/>
    <w:pPr>
      <w:spacing w:lineRule="auto" w:line="480" w:before="0" w:after="120"/>
    </w:pPr>
    <w:rPr/>
  </w:style>
  <w:style w:type="paragraph" w:styleId="BodyTextIndent2">
    <w:name w:val="Body Text Indent 2"/>
    <w:basedOn w:val="Normal"/>
    <w:link w:val="Tekstpodstawowywcity2Znak"/>
    <w:qFormat/>
    <w:rsid w:val="00604fb8"/>
    <w:pPr>
      <w:spacing w:lineRule="auto" w:line="480" w:before="0" w:after="120"/>
      <w:ind w:left="283" w:hanging="0"/>
    </w:pPr>
    <w:rPr/>
  </w:style>
  <w:style w:type="paragraph" w:styleId="Akapitzlist1" w:customStyle="1">
    <w:name w:val="Akapit z listą1"/>
    <w:basedOn w:val="Normal"/>
    <w:qFormat/>
    <w:rsid w:val="00604fb8"/>
    <w:pPr>
      <w:suppressAutoHyphens w:val="true"/>
      <w:spacing w:before="0" w:after="0"/>
      <w:ind w:left="720" w:hanging="0"/>
      <w:contextualSpacing/>
    </w:pPr>
    <w:rPr>
      <w:rFonts w:eastAsia="Times New Roman"/>
      <w:sz w:val="24"/>
      <w:szCs w:val="24"/>
      <w:lang w:eastAsia="ar-SA"/>
    </w:rPr>
  </w:style>
  <w:style w:type="paragraph" w:styleId="Tytu">
    <w:name w:val="Title"/>
    <w:basedOn w:val="Normal"/>
    <w:link w:val="TytuZnak"/>
    <w:qFormat/>
    <w:rsid w:val="00604fb8"/>
    <w:pPr>
      <w:ind w:left="278" w:hanging="0"/>
      <w:jc w:val="center"/>
    </w:pPr>
    <w:rPr>
      <w:rFonts w:eastAsia="Times New Roman"/>
      <w:b/>
      <w:bCs/>
      <w:i/>
      <w:iCs/>
      <w:sz w:val="18"/>
      <w:szCs w:val="18"/>
    </w:rPr>
  </w:style>
  <w:style w:type="paragraph" w:styleId="FR1" w:customStyle="1">
    <w:name w:val="FR1"/>
    <w:qFormat/>
    <w:rsid w:val="00604fb8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eastAsia="pl-PL" w:val="pl-PL" w:bidi="ar-SA"/>
    </w:rPr>
  </w:style>
  <w:style w:type="paragraph" w:styleId="Gwka">
    <w:name w:val="Header"/>
    <w:basedOn w:val="Normal"/>
    <w:link w:val="NagwekZnak"/>
    <w:uiPriority w:val="99"/>
    <w:unhideWhenUsed/>
    <w:rsid w:val="00604fb8"/>
    <w:pPr>
      <w:tabs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uiPriority w:val="99"/>
    <w:unhideWhenUsed/>
    <w:rsid w:val="00604fb8"/>
    <w:pPr>
      <w:tabs>
        <w:tab w:val="center" w:pos="4536" w:leader="none"/>
        <w:tab w:val="right" w:pos="9072" w:leader="none"/>
      </w:tabs>
    </w:pPr>
    <w:rPr/>
  </w:style>
  <w:style w:type="paragraph" w:styleId="Przypisdolny">
    <w:name w:val="Footnote Text"/>
    <w:basedOn w:val="Normal"/>
    <w:link w:val="TekstprzypisudolnegoZnak"/>
    <w:uiPriority w:val="99"/>
    <w:semiHidden/>
    <w:unhideWhenUsed/>
    <w:rsid w:val="00eb6db0"/>
    <w:pPr/>
    <w:rPr/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eb6db0"/>
    <w:pPr/>
    <w:rPr/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eb6db0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b6db0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A065-A71F-4C44-9E2A-167D3EA7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LibreOffice/6.0.0.3$Windows_X86_64 LibreOffice_project/64a0f66915f38c6217de274f0aa8e15618924765</Application>
  <Pages>5</Pages>
  <Words>1295</Words>
  <Characters>8143</Characters>
  <CharactersWithSpaces>9352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2018-04-10T20:42:00Z</dcterms:created>
  <dc:creator>Przemyslaw Pytlak</dc:creator>
  <dc:description/>
  <dc:language>pl-PL</dc:language>
  <cp:lastModifiedBy/>
  <cp:lastPrinted>2018-05-10T12:10:00Z</cp:lastPrinted>
  <dcterms:modified xsi:type="dcterms:W3CDTF">2018-05-21T11:34:25Z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